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pStyle w:val="Title"/>
        <w:keepNext w:val="0"/>
        <w:keepLines w:val="0"/>
        <w:tabs>
          <w:tab w:val="left" w:leader="none" w:pos="864"/>
        </w:tabs>
        <w:spacing w:after="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CONFIDENTIALITY AGREEMENT</w:t>
      </w:r>
    </w:p>
    <w:p w:rsidR="00000000" w:rsidDel="00000000" w:rsidP="00000000" w:rsidRDefault="00000000" w:rsidRPr="00000000" w14:paraId="00000003">
      <w:pPr>
        <w:tabs>
          <w:tab w:val="left" w:leader="none" w:pos="864"/>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4">
      <w:pPr>
        <w:tabs>
          <w:tab w:val="left" w:leader="none" w:pos="864"/>
        </w:tabs>
        <w:spacing w:line="240" w:lineRule="auto"/>
        <w:rPr>
          <w:rFonts w:ascii="Cambria" w:cs="Cambria" w:eastAsia="Cambria" w:hAnsi="Cambria"/>
        </w:rPr>
      </w:pPr>
      <w:r w:rsidDel="00000000" w:rsidR="00000000" w:rsidRPr="00000000">
        <w:rPr>
          <w:rFonts w:ascii="Cambria" w:cs="Cambria" w:eastAsia="Cambria" w:hAnsi="Cambria"/>
          <w:rtl w:val="0"/>
        </w:rPr>
        <w:t xml:space="preserve">Virginia Commonwealth University and the Company identified below herein agree to be bound by the terms set forth in the attached Exhibit A to govern the exchange of confidential information as described herein. </w:t>
      </w:r>
    </w:p>
    <w:p w:rsidR="00000000" w:rsidDel="00000000" w:rsidP="00000000" w:rsidRDefault="00000000" w:rsidRPr="00000000" w14:paraId="00000005">
      <w:pPr>
        <w:tabs>
          <w:tab w:val="left" w:leader="none" w:pos="864"/>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6">
      <w:pPr>
        <w:tabs>
          <w:tab w:val="left" w:leader="none" w:pos="864"/>
        </w:tabs>
        <w:spacing w:line="240" w:lineRule="auto"/>
        <w:rPr>
          <w:rFonts w:ascii="Cambria" w:cs="Cambria" w:eastAsia="Cambria" w:hAnsi="Cambria"/>
        </w:rPr>
      </w:pPr>
      <w:r w:rsidDel="00000000" w:rsidR="00000000" w:rsidRPr="00000000">
        <w:rPr>
          <w:rtl w:val="0"/>
        </w:rPr>
      </w:r>
    </w:p>
    <w:tbl>
      <w:tblPr>
        <w:tblStyle w:val="Table1"/>
        <w:tblW w:w="9576.0" w:type="dxa"/>
        <w:jc w:val="left"/>
        <w:tblInd w:w="-108.0" w:type="dxa"/>
        <w:tblLayout w:type="fixed"/>
        <w:tblLook w:val="0000"/>
      </w:tblPr>
      <w:tblGrid>
        <w:gridCol w:w="4544"/>
        <w:gridCol w:w="5032"/>
        <w:tblGridChange w:id="0">
          <w:tblGrid>
            <w:gridCol w:w="4544"/>
            <w:gridCol w:w="5032"/>
          </w:tblGrid>
        </w:tblGridChange>
      </w:tblGrid>
      <w:tr>
        <w:trPr>
          <w:cantSplit w:val="0"/>
          <w:tblHeader w:val="0"/>
        </w:trPr>
        <w:tc>
          <w:tcPr>
            <w:tcBorders>
              <w:top w:color="bfbfbf" w:space="0" w:sz="4" w:val="single"/>
              <w:left w:color="bfbfbf" w:space="0" w:sz="4" w:val="single"/>
              <w:right w:color="bfbfbf" w:space="0" w:sz="4" w:val="single"/>
            </w:tcBorders>
            <w:vAlign w:val="top"/>
          </w:tcPr>
          <w:p w:rsidR="00000000" w:rsidDel="00000000" w:rsidP="00000000" w:rsidRDefault="00000000" w:rsidRPr="00000000" w14:paraId="00000007">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Virginia Commonwealth University (“VCU”)</w:t>
            </w:r>
            <w:r w:rsidDel="00000000" w:rsidR="00000000" w:rsidRPr="00000000">
              <w:rPr>
                <w:rtl w:val="0"/>
              </w:rPr>
            </w:r>
          </w:p>
        </w:tc>
        <w:tc>
          <w:tcPr>
            <w:tcBorders>
              <w:top w:color="bfbfbf" w:space="0" w:sz="4" w:val="single"/>
              <w:left w:color="bfbfbf" w:space="0" w:sz="4" w:val="single"/>
              <w:bottom w:color="000000" w:space="0" w:sz="0" w:val="nil"/>
              <w:right w:color="bfbfbf" w:space="0" w:sz="4" w:val="single"/>
            </w:tcBorders>
            <w:vAlign w:val="top"/>
          </w:tcPr>
          <w:p w:rsidR="00000000" w:rsidDel="00000000" w:rsidP="00000000" w:rsidRDefault="00000000" w:rsidRPr="00000000" w14:paraId="00000008">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&lt;Applicant Name&gt; (“Applicant”)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0" w:val="nil"/>
              <w:right w:color="bfbfbf" w:space="0" w:sz="4" w:val="single"/>
            </w:tcBorders>
            <w:vAlign w:val="top"/>
          </w:tcPr>
          <w:p w:rsidR="00000000" w:rsidDel="00000000" w:rsidP="00000000" w:rsidRDefault="00000000" w:rsidRPr="00000000" w14:paraId="0000000A">
            <w:pPr>
              <w:tabs>
                <w:tab w:val="left" w:leader="none" w:pos="864"/>
              </w:tabs>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bfbfbf" w:space="0" w:sz="4" w:val="single"/>
              <w:bottom w:color="bfbfbf" w:space="0" w:sz="4" w:val="single"/>
              <w:right w:color="bfbfbf" w:space="0" w:sz="4" w:val="single"/>
            </w:tcBorders>
            <w:vAlign w:val="top"/>
          </w:tcPr>
          <w:p w:rsidR="00000000" w:rsidDel="00000000" w:rsidP="00000000" w:rsidRDefault="00000000" w:rsidRPr="00000000" w14:paraId="0000000B">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800 E. Leigh Street, Suite 3000</w:t>
            </w:r>
          </w:p>
          <w:p w:rsidR="00000000" w:rsidDel="00000000" w:rsidP="00000000" w:rsidRDefault="00000000" w:rsidRPr="00000000" w14:paraId="0000000C">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Richmond, VA 23219</w:t>
            </w:r>
          </w:p>
          <w:p w:rsidR="00000000" w:rsidDel="00000000" w:rsidP="00000000" w:rsidRDefault="00000000" w:rsidRPr="00000000" w14:paraId="0000000D">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E">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bfbfbf" w:space="0" w:sz="4" w:val="single"/>
              <w:bottom w:color="bfbfbf" w:space="0" w:sz="4" w:val="single"/>
              <w:right w:color="bfbfbf" w:space="0" w:sz="4" w:val="single"/>
            </w:tcBorders>
            <w:vAlign w:val="top"/>
          </w:tcPr>
          <w:p w:rsidR="00000000" w:rsidDel="00000000" w:rsidP="00000000" w:rsidRDefault="00000000" w:rsidRPr="00000000" w14:paraId="0000000F">
            <w:pPr>
              <w:tabs>
                <w:tab w:val="left" w:leader="none" w:pos="86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bfbfbf"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10">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bfbfbf"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11">
            <w:pPr>
              <w:tabs>
                <w:tab w:val="left" w:leader="none" w:pos="86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vAlign w:val="top"/>
          </w:tcPr>
          <w:p w:rsidR="00000000" w:rsidDel="00000000" w:rsidP="00000000" w:rsidRDefault="00000000" w:rsidRPr="00000000" w14:paraId="00000012">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VCU  Representative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top"/>
          </w:tcPr>
          <w:p w:rsidR="00000000" w:rsidDel="00000000" w:rsidP="00000000" w:rsidRDefault="00000000" w:rsidRPr="00000000" w14:paraId="00000013">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Signing Party</w:t>
            </w:r>
            <w:r w:rsidDel="00000000" w:rsidR="00000000" w:rsidRPr="00000000">
              <w:rPr>
                <w:rtl w:val="0"/>
              </w:rPr>
            </w:r>
          </w:p>
        </w:tc>
      </w:tr>
      <w:tr>
        <w:trPr>
          <w:cantSplit w:val="0"/>
          <w:tblHeader w:val="0"/>
        </w:trPr>
        <w:tc>
          <w:tcPr>
            <w:tcBorders>
              <w:top w:color="bfbfbf" w:space="0" w:sz="4" w:val="single"/>
              <w:left w:color="bfbfbf" w:space="0" w:sz="4" w:val="single"/>
              <w:bottom w:color="000000" w:space="0" w:sz="0" w:val="nil"/>
              <w:right w:color="bfbfbf" w:space="0" w:sz="4" w:val="single"/>
            </w:tcBorders>
            <w:vAlign w:val="top"/>
          </w:tcPr>
          <w:p w:rsidR="00000000" w:rsidDel="00000000" w:rsidP="00000000" w:rsidRDefault="00000000" w:rsidRPr="00000000" w14:paraId="00000014">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&lt;Name&gt; </w:t>
            </w:r>
          </w:p>
        </w:tc>
        <w:tc>
          <w:tcPr>
            <w:tcBorders>
              <w:top w:color="bfbfbf" w:space="0" w:sz="4" w:val="single"/>
              <w:left w:color="bfbfbf" w:space="0" w:sz="4" w:val="single"/>
              <w:bottom w:color="000000" w:space="0" w:sz="0" w:val="nil"/>
              <w:right w:color="bfbfbf" w:space="0" w:sz="4" w:val="single"/>
            </w:tcBorders>
            <w:vAlign w:val="top"/>
          </w:tcPr>
          <w:p w:rsidR="00000000" w:rsidDel="00000000" w:rsidP="00000000" w:rsidRDefault="00000000" w:rsidRPr="00000000" w14:paraId="00000015">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&lt;Name&gt; </w:t>
            </w:r>
          </w:p>
        </w:tc>
      </w:tr>
      <w:tr>
        <w:trPr>
          <w:cantSplit w:val="0"/>
          <w:tblHeader w:val="0"/>
        </w:trPr>
        <w:tc>
          <w:tcPr>
            <w:tcBorders>
              <w:top w:color="000000" w:space="0" w:sz="0" w:val="nil"/>
              <w:left w:color="bfbfbf" w:space="0" w:sz="4" w:val="single"/>
              <w:bottom w:color="000000" w:space="0" w:sz="0" w:val="nil"/>
              <w:right w:color="bfbfbf" w:space="0" w:sz="4" w:val="single"/>
            </w:tcBorders>
            <w:vAlign w:val="top"/>
          </w:tcPr>
          <w:p w:rsidR="00000000" w:rsidDel="00000000" w:rsidP="00000000" w:rsidRDefault="00000000" w:rsidRPr="00000000" w14:paraId="00000016">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&lt;Title&gt;</w:t>
            </w:r>
          </w:p>
        </w:tc>
        <w:tc>
          <w:tcPr>
            <w:tcBorders>
              <w:top w:color="000000" w:space="0" w:sz="0" w:val="nil"/>
              <w:left w:color="bfbfbf" w:space="0" w:sz="4" w:val="single"/>
              <w:bottom w:color="000000" w:space="0" w:sz="0" w:val="nil"/>
              <w:right w:color="bfbfbf" w:space="0" w:sz="4" w:val="single"/>
            </w:tcBorders>
            <w:vAlign w:val="top"/>
          </w:tcPr>
          <w:p w:rsidR="00000000" w:rsidDel="00000000" w:rsidP="00000000" w:rsidRDefault="00000000" w:rsidRPr="00000000" w14:paraId="00000017">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&lt;Title&gt;</w:t>
            </w:r>
          </w:p>
        </w:tc>
      </w:tr>
      <w:tr>
        <w:trPr>
          <w:cantSplit w:val="0"/>
          <w:trHeight w:val="279" w:hRule="atLeast"/>
          <w:tblHeader w:val="0"/>
        </w:trPr>
        <w:tc>
          <w:tcPr>
            <w:tcBorders>
              <w:top w:color="000000" w:space="0" w:sz="0" w:val="nil"/>
              <w:left w:color="bfbfbf" w:space="0" w:sz="4" w:val="single"/>
              <w:bottom w:color="bfbfbf" w:space="0" w:sz="4" w:val="single"/>
              <w:right w:color="bfbfbf" w:space="0" w:sz="4" w:val="single"/>
            </w:tcBorders>
            <w:vAlign w:val="top"/>
          </w:tcPr>
          <w:p w:rsidR="00000000" w:rsidDel="00000000" w:rsidP="00000000" w:rsidRDefault="00000000" w:rsidRPr="00000000" w14:paraId="00000018">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bfbfbf" w:space="0" w:sz="4" w:val="single"/>
              <w:bottom w:color="bfbfbf" w:space="0" w:sz="4" w:val="single"/>
              <w:right w:color="bfbfbf" w:space="0" w:sz="4" w:val="single"/>
            </w:tcBorders>
            <w:vAlign w:val="top"/>
          </w:tcPr>
          <w:p w:rsidR="00000000" w:rsidDel="00000000" w:rsidP="00000000" w:rsidRDefault="00000000" w:rsidRPr="00000000" w14:paraId="00000019">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A">
            <w:pPr>
              <w:tabs>
                <w:tab w:val="left" w:leader="none" w:pos="864"/>
              </w:tabs>
              <w:spacing w:line="24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1B">
      <w:pPr>
        <w:tabs>
          <w:tab w:val="left" w:leader="none" w:pos="864"/>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C">
      <w:pPr>
        <w:tabs>
          <w:tab w:val="left" w:leader="none" w:pos="864"/>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VCU Authorized Signatory</w:t>
        <w:tab/>
        <w:tab/>
        <w:tab/>
        <w:tab/>
        <w:t xml:space="preserve">Applicant Authorized Signatory</w:t>
      </w:r>
      <w:r w:rsidDel="00000000" w:rsidR="00000000" w:rsidRPr="00000000">
        <w:rPr>
          <w:rtl w:val="0"/>
        </w:rPr>
      </w:r>
    </w:p>
    <w:p w:rsidR="00000000" w:rsidDel="00000000" w:rsidP="00000000" w:rsidRDefault="00000000" w:rsidRPr="00000000" w14:paraId="0000001E">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F">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ab/>
        <w:tab/>
      </w:r>
      <w:r w:rsidDel="00000000" w:rsidR="00000000" w:rsidRPr="00000000">
        <w:rPr>
          <w:rtl w:val="0"/>
        </w:rPr>
      </w:r>
    </w:p>
    <w:p w:rsidR="00000000" w:rsidDel="00000000" w:rsidP="00000000" w:rsidRDefault="00000000" w:rsidRPr="00000000" w14:paraId="00000020">
      <w:pPr>
        <w:tabs>
          <w:tab w:val="left" w:leader="none" w:pos="864"/>
        </w:tabs>
        <w:spacing w:line="240" w:lineRule="auto"/>
        <w:rPr>
          <w:rFonts w:ascii="Cambria" w:cs="Cambria" w:eastAsia="Cambria" w:hAnsi="Cambria"/>
          <w:sz w:val="20"/>
          <w:szCs w:val="20"/>
        </w:rPr>
      </w:pPr>
      <w:r w:rsidDel="00000000" w:rsidR="00000000" w:rsidRPr="00000000">
        <w:rPr>
          <w:rtl w:val="0"/>
        </w:rPr>
      </w:r>
    </w:p>
    <w:tbl>
      <w:tblPr>
        <w:tblStyle w:val="Table2"/>
        <w:tblW w:w="9576.0" w:type="dxa"/>
        <w:jc w:val="left"/>
        <w:tblInd w:w="-108.0" w:type="dxa"/>
        <w:tblBorders>
          <w:top w:color="bfbfbf" w:space="0" w:sz="4" w:val="single"/>
          <w:left w:color="000000" w:space="0" w:sz="0" w:val="nil"/>
          <w:bottom w:color="000000" w:space="0" w:sz="0" w:val="nil"/>
          <w:right w:color="000000" w:space="0" w:sz="0" w:val="nil"/>
          <w:insideH w:color="bfbfbf" w:space="0" w:sz="4" w:val="single"/>
          <w:insideV w:color="000000" w:space="0" w:sz="4" w:val="single"/>
        </w:tblBorders>
        <w:tblLayout w:type="fixed"/>
        <w:tblLook w:val="0000"/>
      </w:tblPr>
      <w:tblGrid>
        <w:gridCol w:w="4494"/>
        <w:gridCol w:w="263"/>
        <w:gridCol w:w="4819"/>
        <w:tblGridChange w:id="0">
          <w:tblGrid>
            <w:gridCol w:w="4494"/>
            <w:gridCol w:w="263"/>
            <w:gridCol w:w="4819"/>
          </w:tblGrid>
        </w:tblGridChange>
      </w:tblGrid>
      <w:tr>
        <w:trPr>
          <w:cantSplit w:val="0"/>
          <w:tblHeader w:val="0"/>
        </w:trPr>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21">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Signature</w:t>
            </w:r>
          </w:p>
          <w:p w:rsidR="00000000" w:rsidDel="00000000" w:rsidP="00000000" w:rsidRDefault="00000000" w:rsidRPr="00000000" w14:paraId="00000022">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4">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26">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Signature</w:t>
            </w:r>
          </w:p>
          <w:p w:rsidR="00000000" w:rsidDel="00000000" w:rsidP="00000000" w:rsidRDefault="00000000" w:rsidRPr="00000000" w14:paraId="00000027">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8">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tabs>
                <w:tab w:val="left" w:leader="none" w:pos="86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2A">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w:t>
            </w:r>
          </w:p>
          <w:p w:rsidR="00000000" w:rsidDel="00000000" w:rsidP="00000000" w:rsidRDefault="00000000" w:rsidRPr="00000000" w14:paraId="0000002B">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C">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D">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2F">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w:t>
            </w:r>
          </w:p>
          <w:p w:rsidR="00000000" w:rsidDel="00000000" w:rsidP="00000000" w:rsidRDefault="00000000" w:rsidRPr="00000000" w14:paraId="00000030">
            <w:pPr>
              <w:tabs>
                <w:tab w:val="left" w:leader="none" w:pos="86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31">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Title</w:t>
            </w:r>
          </w:p>
          <w:p w:rsidR="00000000" w:rsidDel="00000000" w:rsidP="00000000" w:rsidRDefault="00000000" w:rsidRPr="00000000" w14:paraId="00000032">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4">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5">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bfbfbf" w:space="0" w:sz="4" w:val="single"/>
              <w:left w:color="000000" w:space="0" w:sz="0" w:val="nil"/>
              <w:bottom w:color="bfbfbf" w:space="0" w:sz="4" w:val="single"/>
              <w:right w:color="000000" w:space="0" w:sz="0" w:val="nil"/>
            </w:tcBorders>
            <w:vAlign w:val="top"/>
          </w:tcPr>
          <w:p w:rsidR="00000000" w:rsidDel="00000000" w:rsidP="00000000" w:rsidRDefault="00000000" w:rsidRPr="00000000" w14:paraId="00000036">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Title</w:t>
            </w:r>
          </w:p>
          <w:p w:rsidR="00000000" w:rsidDel="00000000" w:rsidP="00000000" w:rsidRDefault="00000000" w:rsidRPr="00000000" w14:paraId="00000037">
            <w:pPr>
              <w:tabs>
                <w:tab w:val="left" w:leader="none" w:pos="86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bfbfbf"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8">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tabs>
                <w:tab w:val="left" w:leader="none" w:pos="864"/>
              </w:tabs>
              <w:spacing w:line="240" w:lineRule="auto"/>
              <w:rPr>
                <w:rFonts w:ascii="Cambria" w:cs="Cambria" w:eastAsia="Cambria" w:hAnsi="Cambria"/>
                <w:sz w:val="20"/>
                <w:szCs w:val="20"/>
              </w:rPr>
            </w:pPr>
            <w:r w:rsidDel="00000000" w:rsidR="00000000" w:rsidRPr="00000000">
              <w:rPr>
                <w:rtl w:val="0"/>
              </w:rPr>
            </w:r>
          </w:p>
        </w:tc>
        <w:tc>
          <w:tcPr>
            <w:tcBorders>
              <w:top w:color="bfbfbf"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A">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w:t>
            </w:r>
          </w:p>
        </w:tc>
      </w:tr>
    </w:tbl>
    <w:p w:rsidR="00000000" w:rsidDel="00000000" w:rsidP="00000000" w:rsidRDefault="00000000" w:rsidRPr="00000000" w14:paraId="0000003B">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C">
      <w:pPr>
        <w:tabs>
          <w:tab w:val="left" w:leader="none" w:pos="864"/>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D">
      <w:pPr>
        <w:tabs>
          <w:tab w:val="left" w:leader="none" w:pos="86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Read and Acknowledged:</w:t>
      </w:r>
    </w:p>
    <w:p w:rsidR="00000000" w:rsidDel="00000000" w:rsidP="00000000" w:rsidRDefault="00000000" w:rsidRPr="00000000" w14:paraId="0000003E">
      <w:pPr>
        <w:tabs>
          <w:tab w:val="left" w:leader="none" w:pos="864"/>
        </w:tabs>
        <w:spacing w:line="240" w:lineRule="auto"/>
        <w:rPr>
          <w:rFonts w:ascii="Cambria" w:cs="Cambria" w:eastAsia="Cambria" w:hAnsi="Cambria"/>
          <w:sz w:val="20"/>
          <w:szCs w:val="20"/>
        </w:rPr>
      </w:pPr>
      <w:r w:rsidDel="00000000" w:rsidR="00000000" w:rsidRPr="00000000">
        <w:rPr>
          <w:rtl w:val="0"/>
        </w:rPr>
      </w:r>
    </w:p>
    <w:tbl>
      <w:tblPr>
        <w:tblStyle w:val="Table3"/>
        <w:tblW w:w="9918.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008"/>
        <w:gridCol w:w="3420"/>
        <w:gridCol w:w="360"/>
        <w:gridCol w:w="900"/>
        <w:gridCol w:w="4230"/>
        <w:tblGridChange w:id="0">
          <w:tblGrid>
            <w:gridCol w:w="1008"/>
            <w:gridCol w:w="3420"/>
            <w:gridCol w:w="360"/>
            <w:gridCol w:w="900"/>
            <w:gridCol w:w="4230"/>
          </w:tblGrid>
        </w:tblGridChange>
      </w:tblGrid>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03F">
            <w:pPr>
              <w:widowControl w:val="0"/>
              <w:tabs>
                <w:tab w:val="left" w:leader="none" w:pos="20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By:</w:t>
            </w:r>
          </w:p>
        </w:tc>
        <w:tc>
          <w:tcPr>
            <w:tcBorders>
              <w:top w:color="000000" w:space="0" w:sz="0" w:val="nil"/>
              <w:bottom w:color="000000" w:space="0" w:sz="4" w:val="single"/>
            </w:tcBorders>
            <w:vAlign w:val="top"/>
          </w:tcPr>
          <w:p w:rsidR="00000000" w:rsidDel="00000000" w:rsidP="00000000" w:rsidRDefault="00000000" w:rsidRPr="00000000" w14:paraId="00000040">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1">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2">
            <w:pPr>
              <w:widowControl w:val="0"/>
              <w:tabs>
                <w:tab w:val="left" w:leader="none" w:pos="20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By:</w:t>
            </w:r>
          </w:p>
        </w:tc>
        <w:tc>
          <w:tcPr>
            <w:tcBorders>
              <w:top w:color="000000" w:space="0" w:sz="0" w:val="nil"/>
              <w:bottom w:color="000000" w:space="0" w:sz="4" w:val="single"/>
            </w:tcBorders>
            <w:vAlign w:val="top"/>
          </w:tcPr>
          <w:p w:rsidR="00000000" w:rsidDel="00000000" w:rsidP="00000000" w:rsidRDefault="00000000" w:rsidRPr="00000000" w14:paraId="00000043">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044">
            <w:pPr>
              <w:widowControl w:val="0"/>
              <w:tabs>
                <w:tab w:val="left" w:leader="none" w:pos="20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w:t>
            </w:r>
          </w:p>
        </w:tc>
        <w:tc>
          <w:tcPr>
            <w:tcBorders>
              <w:top w:color="000000" w:space="0" w:sz="0" w:val="nil"/>
              <w:bottom w:color="000000" w:space="0" w:sz="0" w:val="nil"/>
            </w:tcBorders>
            <w:vAlign w:val="top"/>
          </w:tcPr>
          <w:p w:rsidR="00000000" w:rsidDel="00000000" w:rsidP="00000000" w:rsidRDefault="00000000" w:rsidRPr="00000000" w14:paraId="00000045">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6">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7">
            <w:pPr>
              <w:widowControl w:val="0"/>
              <w:tabs>
                <w:tab w:val="left" w:leader="none" w:pos="204"/>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w:t>
            </w:r>
          </w:p>
        </w:tc>
        <w:tc>
          <w:tcPr>
            <w:tcBorders>
              <w:top w:color="000000" w:space="0" w:sz="0" w:val="nil"/>
              <w:bottom w:color="000000" w:space="0" w:sz="0" w:val="nil"/>
            </w:tcBorders>
            <w:vAlign w:val="top"/>
          </w:tcPr>
          <w:p w:rsidR="00000000" w:rsidDel="00000000" w:rsidP="00000000" w:rsidRDefault="00000000" w:rsidRPr="00000000" w14:paraId="00000048">
            <w:pPr>
              <w:widowControl w:val="0"/>
              <w:tabs>
                <w:tab w:val="left" w:leader="none" w:pos="204"/>
              </w:tabs>
              <w:spacing w:line="24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49">
      <w:pPr>
        <w:tabs>
          <w:tab w:val="left" w:leader="none" w:pos="864"/>
        </w:tabs>
        <w:spacing w:line="240" w:lineRule="auto"/>
        <w:jc w:val="center"/>
        <w:rPr>
          <w:rFonts w:ascii="Cambria" w:cs="Cambria" w:eastAsia="Cambria" w:hAnsi="Cambria"/>
          <w:sz w:val="20"/>
          <w:szCs w:val="20"/>
        </w:rPr>
      </w:pPr>
      <w:r w:rsidDel="00000000" w:rsidR="00000000" w:rsidRPr="00000000">
        <w:br w:type="page"/>
      </w:r>
      <w:r w:rsidDel="00000000" w:rsidR="00000000" w:rsidRPr="00000000">
        <w:rPr>
          <w:rFonts w:ascii="Cambria" w:cs="Cambria" w:eastAsia="Cambria" w:hAnsi="Cambria"/>
          <w:b w:val="1"/>
          <w:bCs w:val="1"/>
          <w:sz w:val="20"/>
          <w:szCs w:val="20"/>
          <w:rtl w:val="0"/>
        </w:rPr>
        <w:t xml:space="preserve">Exhibit A</w:t>
      </w:r>
      <w:r w:rsidDel="00000000" w:rsidR="00000000" w:rsidRPr="00000000">
        <w:rPr>
          <w:rtl w:val="0"/>
        </w:rPr>
      </w:r>
    </w:p>
    <w:p w:rsidR="00000000" w:rsidDel="00000000" w:rsidP="00000000" w:rsidRDefault="00000000" w:rsidRPr="00000000" w14:paraId="0000004A">
      <w:pPr>
        <w:tabs>
          <w:tab w:val="left" w:leader="none" w:pos="864"/>
        </w:tabs>
        <w:spacing w:line="240" w:lineRule="auto"/>
        <w:jc w:val="cente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TERMS AND CONDITIONS</w:t>
      </w:r>
      <w:r w:rsidDel="00000000" w:rsidR="00000000" w:rsidRPr="00000000">
        <w:rPr>
          <w:rtl w:val="0"/>
        </w:rPr>
      </w:r>
    </w:p>
    <w:p w:rsidR="00000000" w:rsidDel="00000000" w:rsidP="00000000" w:rsidRDefault="00000000" w:rsidRPr="00000000" w14:paraId="0000004B">
      <w:pPr>
        <w:tabs>
          <w:tab w:val="left" w:leader="none" w:pos="864"/>
        </w:tabs>
        <w:spacing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4C">
      <w:pPr>
        <w:tabs>
          <w:tab w:val="left" w:leader="none" w:pos="864"/>
          <w:tab w:val="left" w:leader="none" w:pos="720"/>
          <w:tab w:val="left" w:leader="none" w:pos="1440"/>
          <w:tab w:val="left" w:leader="none" w:pos="2160"/>
          <w:tab w:val="left" w:leader="none" w:pos="2880"/>
        </w:tabs>
        <w:spacing w:line="240" w:lineRule="auto"/>
        <w:ind w:right="-334"/>
        <w:rPr>
          <w:rFonts w:ascii="Cambria" w:cs="Cambria" w:eastAsia="Cambria" w:hAnsi="Cambria"/>
        </w:rPr>
      </w:pPr>
      <w:r w:rsidDel="00000000" w:rsidR="00000000" w:rsidRPr="00000000">
        <w:rPr>
          <w:rtl w:val="0"/>
        </w:rPr>
      </w:r>
    </w:p>
    <w:p w:rsidR="00000000" w:rsidDel="00000000" w:rsidP="00000000" w:rsidRDefault="00000000" w:rsidRPr="00000000" w14:paraId="0000004D">
      <w:pPr>
        <w:numPr>
          <w:ilvl w:val="0"/>
          <w:numId w:val="2"/>
        </w:numPr>
        <w:tabs>
          <w:tab w:val="left" w:leader="none" w:pos="864"/>
          <w:tab w:val="left" w:leader="none" w:pos="360"/>
          <w:tab w:val="left" w:leader="none" w:pos="1440"/>
          <w:tab w:val="left" w:leader="none" w:pos="2160"/>
          <w:tab w:val="left" w:leader="none" w:pos="2880"/>
        </w:tabs>
        <w:spacing w:line="240" w:lineRule="auto"/>
        <w:ind w:left="360" w:right="-334"/>
        <w:rPr>
          <w:rFonts w:ascii="Cambria" w:cs="Cambria" w:eastAsia="Cambria" w:hAnsi="Cambria"/>
        </w:rPr>
      </w:pPr>
      <w:r w:rsidDel="00000000" w:rsidR="00000000" w:rsidRPr="00000000">
        <w:rPr>
          <w:rFonts w:ascii="Cambria" w:cs="Cambria" w:eastAsia="Cambria" w:hAnsi="Cambria"/>
          <w:rtl w:val="0"/>
        </w:rPr>
        <w:t xml:space="preserve">Applicant wishes to disclose to VCU information relating to the submitted application Request for Proposals:  Synthetic Route Design Initiative (hereinafter “Confidential Information”) for the purpose of evaluation and discussion relating to the possibility of entering into a collaboration for the project specified in the application.  Confidential Information shall include all information, knowledge, know-how, or data regardless of form (whether written, oral, photographic, electronic, magnetic, computer or otherwise) which Applicant designates in writing as confidential, either on its face or, for non-written disclosure, in a written notification sent by Applicant to VCU within 15 days of disclosure. Applicant considers its Confidential Information to be its confidential and proprietary property and is authorized to disclose such Confidential Information to VCU pursuant to the terms of this Agreement.</w:t>
      </w:r>
    </w:p>
    <w:p w:rsidR="00000000" w:rsidDel="00000000" w:rsidP="00000000" w:rsidRDefault="00000000" w:rsidRPr="00000000" w14:paraId="0000004E">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4F">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Applicants’s Confidential Information shall be kept strictly confidential by VCU and, except as permitted herein, shall not be disclosed by VCU to any third party without the Applicant’s prior written consent.  VCU shall protect the Applicant’s Confidential Information in the same manner as it protects its own confidential information of a similar nature, which shall be at least a reasonable standard of care. </w:t>
      </w:r>
    </w:p>
    <w:p w:rsidR="00000000" w:rsidDel="00000000" w:rsidP="00000000" w:rsidRDefault="00000000" w:rsidRPr="00000000" w14:paraId="00000050">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51">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The confidentiality and non-use obligations of this Agreement shall not apply to the following if established by reasonable proof:</w:t>
      </w:r>
    </w:p>
    <w:p w:rsidR="00000000" w:rsidDel="00000000" w:rsidP="00000000" w:rsidRDefault="00000000" w:rsidRPr="00000000" w14:paraId="00000052">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53">
      <w:pPr>
        <w:numPr>
          <w:ilvl w:val="0"/>
          <w:numId w:val="1"/>
        </w:numPr>
        <w:tabs>
          <w:tab w:val="left" w:leader="none" w:pos="864"/>
          <w:tab w:val="left" w:leader="none" w:pos="1080"/>
        </w:tabs>
        <w:spacing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Information which at the time of disclosure is in the public domain; </w:t>
      </w:r>
    </w:p>
    <w:p w:rsidR="00000000" w:rsidDel="00000000" w:rsidP="00000000" w:rsidRDefault="00000000" w:rsidRPr="00000000" w14:paraId="00000054">
      <w:p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tl w:val="0"/>
        </w:rPr>
      </w:r>
    </w:p>
    <w:p w:rsidR="00000000" w:rsidDel="00000000" w:rsidP="00000000" w:rsidRDefault="00000000" w:rsidRPr="00000000" w14:paraId="00000055">
      <w:pPr>
        <w:numPr>
          <w:ilvl w:val="0"/>
          <w:numId w:val="1"/>
        </w:num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Information which, after disclosure, enters the public domain by publication or otherwise, except through breach of this Agreement; </w:t>
      </w:r>
    </w:p>
    <w:p w:rsidR="00000000" w:rsidDel="00000000" w:rsidP="00000000" w:rsidRDefault="00000000" w:rsidRPr="00000000" w14:paraId="00000056">
      <w:p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tl w:val="0"/>
        </w:rPr>
      </w:r>
    </w:p>
    <w:p w:rsidR="00000000" w:rsidDel="00000000" w:rsidP="00000000" w:rsidRDefault="00000000" w:rsidRPr="00000000" w14:paraId="00000057">
      <w:pPr>
        <w:numPr>
          <w:ilvl w:val="0"/>
          <w:numId w:val="1"/>
        </w:num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Information which VCU can demonstrate by its written records was, at the time of disclosure hereunder, in its possession prior to disclosure or was subsequently developed by employees of or on behalf of VCU, without use, direct or indirect, of Information received hereunder; </w:t>
      </w:r>
    </w:p>
    <w:p w:rsidR="00000000" w:rsidDel="00000000" w:rsidP="00000000" w:rsidRDefault="00000000" w:rsidRPr="00000000" w14:paraId="00000058">
      <w:p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tl w:val="0"/>
        </w:rPr>
      </w:r>
    </w:p>
    <w:p w:rsidR="00000000" w:rsidDel="00000000" w:rsidP="00000000" w:rsidRDefault="00000000" w:rsidRPr="00000000" w14:paraId="00000059">
      <w:pPr>
        <w:numPr>
          <w:ilvl w:val="0"/>
          <w:numId w:val="1"/>
        </w:num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Information which becomes available to VCU from a third party which, to the knowledge of VCU, is not legally prohibited from disclosing such Information; </w:t>
      </w:r>
    </w:p>
    <w:p w:rsidR="00000000" w:rsidDel="00000000" w:rsidP="00000000" w:rsidRDefault="00000000" w:rsidRPr="00000000" w14:paraId="0000005A">
      <w:p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tl w:val="0"/>
        </w:rPr>
      </w:r>
    </w:p>
    <w:p w:rsidR="00000000" w:rsidDel="00000000" w:rsidP="00000000" w:rsidRDefault="00000000" w:rsidRPr="00000000" w14:paraId="0000005B">
      <w:pPr>
        <w:numPr>
          <w:ilvl w:val="0"/>
          <w:numId w:val="1"/>
        </w:numPr>
        <w:tabs>
          <w:tab w:val="left" w:leader="none" w:pos="864"/>
          <w:tab w:val="left" w:leader="none" w:pos="540"/>
          <w:tab w:val="left" w:leader="none" w:pos="1080"/>
        </w:tabs>
        <w:spacing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Information which is required by law, regulation, or court order to be disclosed.</w:t>
      </w:r>
    </w:p>
    <w:p w:rsidR="00000000" w:rsidDel="00000000" w:rsidP="00000000" w:rsidRDefault="00000000" w:rsidRPr="00000000" w14:paraId="0000005C">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5D">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Nothing in this Agreement shall be construed as an obligation to enter into any further agreement related to any of the Confidential Information or as the grant of a license to VCU to use the Applicant's Confidential Information for other than evaluation purposes. </w:t>
      </w:r>
    </w:p>
    <w:p w:rsidR="00000000" w:rsidDel="00000000" w:rsidP="00000000" w:rsidRDefault="00000000" w:rsidRPr="00000000" w14:paraId="0000005E">
      <w:pPr>
        <w:keepNext w:val="1"/>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5F">
      <w:pPr>
        <w:keepNext w:val="1"/>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Upon completion of the evaluation of the Confidential Information and in the absence of any further agreement between the parties, VCU shall cease all use and make no further use of the Confidential Information and shall promptly destroy the Confidential Information which is in tangible form, except that VCU shall be permitted to retain one copy of the Confidential Information so that any continuing obligations may be determined and future collaboration outside of this effort may be determined.</w:t>
      </w:r>
    </w:p>
    <w:p w:rsidR="00000000" w:rsidDel="00000000" w:rsidP="00000000" w:rsidRDefault="00000000" w:rsidRPr="00000000" w14:paraId="00000060">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1">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Nothing in this Agreement shall be deemed to grant to VCU any license or other ownership rights under any patents owned or controlled by Applicant. </w:t>
      </w:r>
    </w:p>
    <w:p w:rsidR="00000000" w:rsidDel="00000000" w:rsidP="00000000" w:rsidRDefault="00000000" w:rsidRPr="00000000" w14:paraId="00000062">
      <w:pPr>
        <w:keepNext w:val="1"/>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3">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Neither party shall use the name, logo, or trademark of the other party or its employees, or any variant of the foregoing, for any purpose without the prior written approval of the other party. </w:t>
      </w:r>
    </w:p>
    <w:p w:rsidR="00000000" w:rsidDel="00000000" w:rsidP="00000000" w:rsidRDefault="00000000" w:rsidRPr="00000000" w14:paraId="00000064">
      <w:pPr>
        <w:keepNext w:val="1"/>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5">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Notices required to be sent to Applicant under this Agreement shall be in writing and addressed to </w:t>
      </w:r>
      <w:r w:rsidDel="00000000" w:rsidR="00000000" w:rsidRPr="00000000">
        <w:rPr>
          <w:rFonts w:ascii="Cambria" w:cs="Cambria" w:eastAsia="Cambria" w:hAnsi="Cambria"/>
          <w:highlight w:val="yellow"/>
          <w:rtl w:val="0"/>
        </w:rPr>
        <w:t xml:space="preserve">[Name]</w:t>
      </w:r>
      <w:r w:rsidDel="00000000" w:rsidR="00000000" w:rsidRPr="00000000">
        <w:rPr>
          <w:rFonts w:ascii="Cambria" w:cs="Cambria" w:eastAsia="Cambria" w:hAnsi="Cambria"/>
          <w:rtl w:val="0"/>
        </w:rPr>
        <w:t xml:space="preserve"> at the address given on page 1.  Notices or other communications to be sent to VCU should be directed to Shannon Weatherly, Program Management Lead at Medicines for All Institute at VCU, at the email address given on page 1.</w:t>
      </w:r>
    </w:p>
    <w:p w:rsidR="00000000" w:rsidDel="00000000" w:rsidP="00000000" w:rsidRDefault="00000000" w:rsidRPr="00000000" w14:paraId="00000066">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7">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Both parties agree that should this Agreement be breached, money damages may be inadequate to remedy any such breach.  As a result, the non-breaching party shall be entitled to seek, and a court of competent jurisdiction may grant, specific performance and injunctive or other equitable relief as a remedy for any breach of this Agreement.  Such remedy shall be in addition to all other remedies, including money damages, available to a non-breaching party at law or in equity. </w:t>
      </w:r>
    </w:p>
    <w:p w:rsidR="00000000" w:rsidDel="00000000" w:rsidP="00000000" w:rsidRDefault="00000000" w:rsidRPr="00000000" w14:paraId="00000068">
      <w:pPr>
        <w:keepNext w:val="1"/>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9">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This Agreement shall be binding on the date the last authorized signature is affixed (“Effective Date”) and shall terminate one (1) year thereafter. This Agreement is the final, exclusive and entire agreement between the parties relating to its subject matter and may be changed only by the parties’ signed agreement. Failure by either party to enforce any rights under this Agreement shall not be construed as a waiver of such rights, nor shall a waiver by either party in one or more instances be construed as constituting a continuing waiver or as a waiver in other instances. </w:t>
      </w:r>
    </w:p>
    <w:p w:rsidR="00000000" w:rsidDel="00000000" w:rsidP="00000000" w:rsidRDefault="00000000" w:rsidRPr="00000000" w14:paraId="0000006A">
      <w:pPr>
        <w:keepNext w:val="1"/>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B">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This Agreement shall be construed, governed and interpreted pursuant to the laws of the Commonwealth of Virginia, without regard to principles of conflicts of laws.  All disputes arising under this Agreement shall be brought before a proper state or federal court in the Commonwealth of Virginia. </w:t>
      </w:r>
    </w:p>
    <w:p w:rsidR="00000000" w:rsidDel="00000000" w:rsidP="00000000" w:rsidRDefault="00000000" w:rsidRPr="00000000" w14:paraId="0000006C">
      <w:pPr>
        <w:tabs>
          <w:tab w:val="left" w:leader="none" w:pos="864"/>
          <w:tab w:val="left" w:leader="none" w:pos="540"/>
        </w:tabs>
        <w:spacing w:line="240" w:lineRule="auto"/>
        <w:ind w:left="360"/>
        <w:rPr>
          <w:rFonts w:ascii="Cambria" w:cs="Cambria" w:eastAsia="Cambria" w:hAnsi="Cambria"/>
        </w:rPr>
      </w:pPr>
      <w:r w:rsidDel="00000000" w:rsidR="00000000" w:rsidRPr="00000000">
        <w:rPr>
          <w:rtl w:val="0"/>
        </w:rPr>
      </w:r>
    </w:p>
    <w:p w:rsidR="00000000" w:rsidDel="00000000" w:rsidP="00000000" w:rsidRDefault="00000000" w:rsidRPr="00000000" w14:paraId="0000006D">
      <w:pPr>
        <w:numPr>
          <w:ilvl w:val="0"/>
          <w:numId w:val="2"/>
        </w:numPr>
        <w:tabs>
          <w:tab w:val="left" w:leader="none" w:pos="864"/>
          <w:tab w:val="left" w:leader="none" w:pos="360"/>
        </w:tabs>
        <w:spacing w:line="240" w:lineRule="auto"/>
        <w:ind w:left="360"/>
        <w:rPr>
          <w:rFonts w:ascii="Cambria" w:cs="Cambria" w:eastAsia="Cambria" w:hAnsi="Cambria"/>
        </w:rPr>
      </w:pPr>
      <w:r w:rsidDel="00000000" w:rsidR="00000000" w:rsidRPr="00000000">
        <w:rPr>
          <w:rFonts w:ascii="Cambria" w:cs="Cambria" w:eastAsia="Cambria" w:hAnsi="Cambria"/>
          <w:rtl w:val="0"/>
        </w:rPr>
        <w:t xml:space="preserve">All obligations under this Agreement shall expire five (5) years after the Effective Date. If any provision of this Agreement is held to be illegal, invalid or unenforceable, such illegality, invalidity or unenforceability shall not affect any other provision hereof. This Agreement shall not be assigned without the prior written consent of the non-assigning party.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